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1761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 105,</w:t>
      </w:r>
      <w:r>
        <w:rPr>
          <w:rFonts w:hint="eastAsia"/>
        </w:rPr>
        <w:t>家訴</w:t>
      </w:r>
      <w:r>
        <w:rPr>
          <w:rFonts w:hint="eastAsia"/>
        </w:rPr>
        <w:t>,22</w:t>
      </w:r>
    </w:p>
    <w:p w14:paraId="2F1DAFD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 1060125</w:t>
      </w:r>
    </w:p>
    <w:p w14:paraId="20EFAF83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 </w:t>
      </w:r>
      <w:r>
        <w:rPr>
          <w:rFonts w:hint="eastAsia"/>
        </w:rPr>
        <w:t>分割遺產等</w:t>
      </w:r>
    </w:p>
    <w:p w14:paraId="262CF75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【裁判全文】</w:t>
      </w:r>
      <w:r>
        <w:rPr>
          <w:rFonts w:hint="eastAsia"/>
        </w:rPr>
        <w:t xml:space="preserve">  </w:t>
      </w:r>
    </w:p>
    <w:p w14:paraId="261A0B7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臺灣臺北地方法院民事判決　　　　　　</w:t>
      </w:r>
      <w:r>
        <w:rPr>
          <w:rFonts w:hint="eastAsia"/>
        </w:rPr>
        <w:t xml:space="preserve"> 105</w:t>
      </w:r>
      <w:r>
        <w:rPr>
          <w:rFonts w:hint="eastAsia"/>
        </w:rPr>
        <w:t>年度家訴字第</w:t>
      </w:r>
      <w:r>
        <w:rPr>
          <w:rFonts w:hint="eastAsia"/>
        </w:rPr>
        <w:t>22</w:t>
      </w:r>
      <w:r>
        <w:rPr>
          <w:rFonts w:hint="eastAsia"/>
        </w:rPr>
        <w:t>號</w:t>
      </w:r>
    </w:p>
    <w:p w14:paraId="5036B0E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原　　　告　</w:t>
      </w:r>
      <w:r>
        <w:rPr>
          <w:rFonts w:hint="eastAsia"/>
        </w:rPr>
        <w:t>OOO</w:t>
      </w:r>
    </w:p>
    <w:p w14:paraId="5D2DF54C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OOO</w:t>
      </w:r>
    </w:p>
    <w:p w14:paraId="47283AD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OOO</w:t>
      </w:r>
    </w:p>
    <w:p w14:paraId="6D6699A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共　　　同</w:t>
      </w:r>
    </w:p>
    <w:p w14:paraId="1421A16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訴訟代理人　吳弘鵬律師</w:t>
      </w:r>
    </w:p>
    <w:p w14:paraId="693A423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　　　　　　陳妍伊律師</w:t>
      </w:r>
    </w:p>
    <w:p w14:paraId="7B0A0DBD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被　　　告　</w:t>
      </w:r>
      <w:r>
        <w:rPr>
          <w:rFonts w:hint="eastAsia"/>
        </w:rPr>
        <w:t>OOO</w:t>
      </w:r>
    </w:p>
    <w:p w14:paraId="4BBE17D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訴訟代理人　</w:t>
      </w:r>
      <w:r>
        <w:rPr>
          <w:rFonts w:hint="eastAsia"/>
        </w:rPr>
        <w:t>OOO</w:t>
      </w:r>
      <w:r>
        <w:rPr>
          <w:rFonts w:hint="eastAsia"/>
        </w:rPr>
        <w:t>律師</w:t>
      </w:r>
    </w:p>
    <w:p w14:paraId="56A5DA57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上列當事人間分割遺產等事件，本院於民國</w:t>
      </w:r>
      <w:r>
        <w:rPr>
          <w:rFonts w:hint="eastAsia"/>
        </w:rPr>
        <w:t xml:space="preserve">106 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日言詞</w:t>
      </w:r>
    </w:p>
    <w:p w14:paraId="33B614C5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辯論終結，判決如下：</w:t>
      </w:r>
    </w:p>
    <w:p w14:paraId="6B47A93F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14:paraId="3734D45E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被告應將坐落於臺北市○○區○○段○○段○○○○○○○○○</w:t>
      </w:r>
    </w:p>
    <w:p w14:paraId="00C3E50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地號土地上之同段一一九○建號即門牌號碼臺北市○○區○○路</w:t>
      </w:r>
    </w:p>
    <w:p w14:paraId="76351C7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○○○號十三樓房屋騰空遷讓並返還予原告及其他共有人。</w:t>
      </w:r>
    </w:p>
    <w:p w14:paraId="6E912D6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訴訟費用由被告負擔。</w:t>
      </w:r>
    </w:p>
    <w:p w14:paraId="52870A9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14:paraId="21AE957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壹、程序方面：</w:t>
      </w:r>
    </w:p>
    <w:p w14:paraId="41A959DD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按原告於判決確定前，得撤回訴之全部或一部。但被告已為</w:t>
      </w:r>
    </w:p>
    <w:p w14:paraId="18E9466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本案之言詞辯論者，應得其同意，民事訴訟法第</w:t>
      </w:r>
      <w:r>
        <w:rPr>
          <w:rFonts w:hint="eastAsia"/>
        </w:rPr>
        <w:t xml:space="preserve">262 </w:t>
      </w:r>
      <w:r>
        <w:rPr>
          <w:rFonts w:hint="eastAsia"/>
        </w:rPr>
        <w:t>條第</w:t>
      </w:r>
      <w:r>
        <w:rPr>
          <w:rFonts w:hint="eastAsia"/>
        </w:rPr>
        <w:t>1</w:t>
      </w:r>
    </w:p>
    <w:p w14:paraId="483DE1F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項定有明文。本件原告原起訴聲明：</w:t>
      </w:r>
      <w:r>
        <w:rPr>
          <w:rFonts w:hint="eastAsia"/>
        </w:rPr>
        <w:t>(1)</w:t>
      </w:r>
      <w:r>
        <w:rPr>
          <w:rFonts w:hint="eastAsia"/>
        </w:rPr>
        <w:t>被告應將坐落於臺北</w:t>
      </w:r>
    </w:p>
    <w:p w14:paraId="091180D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市○○區○○段</w:t>
      </w:r>
      <w:r>
        <w:rPr>
          <w:rFonts w:hint="eastAsia"/>
        </w:rPr>
        <w:t xml:space="preserve">0 </w:t>
      </w:r>
      <w:r>
        <w:rPr>
          <w:rFonts w:hint="eastAsia"/>
        </w:rPr>
        <w:t>○段</w:t>
      </w:r>
      <w:r>
        <w:rPr>
          <w:rFonts w:hint="eastAsia"/>
        </w:rPr>
        <w:t>00</w:t>
      </w:r>
      <w:r>
        <w:rPr>
          <w:rFonts w:hint="eastAsia"/>
        </w:rPr>
        <w:t>○</w:t>
      </w:r>
      <w:r>
        <w:rPr>
          <w:rFonts w:hint="eastAsia"/>
        </w:rPr>
        <w:t>00</w:t>
      </w:r>
      <w:r>
        <w:rPr>
          <w:rFonts w:hint="eastAsia"/>
        </w:rPr>
        <w:t>○</w:t>
      </w:r>
      <w:r>
        <w:rPr>
          <w:rFonts w:hint="eastAsia"/>
        </w:rPr>
        <w:t xml:space="preserve">0 </w:t>
      </w:r>
      <w:r>
        <w:rPr>
          <w:rFonts w:hint="eastAsia"/>
        </w:rPr>
        <w:t>地號土地（下稱系爭土地</w:t>
      </w:r>
    </w:p>
    <w:p w14:paraId="7F888AF9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）之同段</w:t>
      </w:r>
      <w:r>
        <w:rPr>
          <w:rFonts w:hint="eastAsia"/>
        </w:rPr>
        <w:t>1190</w:t>
      </w:r>
      <w:r>
        <w:rPr>
          <w:rFonts w:hint="eastAsia"/>
        </w:rPr>
        <w:t>號建號即門牌號碼臺北市○○區○○路</w:t>
      </w:r>
      <w:r>
        <w:rPr>
          <w:rFonts w:hint="eastAsia"/>
        </w:rPr>
        <w:t>00</w:t>
      </w:r>
      <w:r>
        <w:rPr>
          <w:rFonts w:hint="eastAsia"/>
        </w:rPr>
        <w:t>號</w:t>
      </w:r>
      <w:r>
        <w:rPr>
          <w:rFonts w:hint="eastAsia"/>
        </w:rPr>
        <w:t>13</w:t>
      </w:r>
    </w:p>
    <w:p w14:paraId="34486E9D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樓房屋（下稱系爭房屋），騰空遷讓並返還予原告及其他公</w:t>
      </w:r>
    </w:p>
    <w:p w14:paraId="59C8562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同共有人；</w:t>
      </w:r>
      <w:r>
        <w:rPr>
          <w:rFonts w:hint="eastAsia"/>
        </w:rPr>
        <w:t>(2)</w:t>
      </w:r>
      <w:r>
        <w:rPr>
          <w:rFonts w:hint="eastAsia"/>
        </w:rPr>
        <w:t>請准就系爭房屋及土地按應繼分比例即各四分</w:t>
      </w:r>
    </w:p>
    <w:p w14:paraId="759CE256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之一分割為分別共有；</w:t>
      </w:r>
      <w:r>
        <w:rPr>
          <w:rFonts w:hint="eastAsia"/>
        </w:rPr>
        <w:t>(3)</w:t>
      </w:r>
      <w:r>
        <w:rPr>
          <w:rFonts w:hint="eastAsia"/>
        </w:rPr>
        <w:t>被告應給付原告</w:t>
      </w:r>
      <w:r>
        <w:rPr>
          <w:rFonts w:hint="eastAsia"/>
        </w:rPr>
        <w:t>OOO</w:t>
      </w:r>
      <w:r>
        <w:rPr>
          <w:rFonts w:hint="eastAsia"/>
        </w:rPr>
        <w:t>、</w:t>
      </w:r>
      <w:r>
        <w:rPr>
          <w:rFonts w:hint="eastAsia"/>
        </w:rPr>
        <w:t>OOO</w:t>
      </w:r>
      <w:r>
        <w:rPr>
          <w:rFonts w:hint="eastAsia"/>
        </w:rPr>
        <w:t>、</w:t>
      </w:r>
    </w:p>
    <w:p w14:paraId="1EA3FFD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OOO</w:t>
      </w:r>
      <w:r>
        <w:rPr>
          <w:rFonts w:hint="eastAsia"/>
        </w:rPr>
        <w:t>各新臺幣（下同）</w:t>
      </w:r>
      <w:r>
        <w:rPr>
          <w:rFonts w:hint="eastAsia"/>
        </w:rPr>
        <w:t xml:space="preserve">3 </w:t>
      </w:r>
      <w:r>
        <w:rPr>
          <w:rFonts w:hint="eastAsia"/>
        </w:rPr>
        <w:t>萬元，及自起訴狀繕本送達翌日</w:t>
      </w:r>
    </w:p>
    <w:p w14:paraId="149ACC06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起至清償日止按週年利率</w:t>
      </w:r>
      <w:r>
        <w:rPr>
          <w:rFonts w:hint="eastAsia"/>
        </w:rPr>
        <w:t>5%</w:t>
      </w:r>
      <w:r>
        <w:rPr>
          <w:rFonts w:hint="eastAsia"/>
        </w:rPr>
        <w:t>計算之利息；</w:t>
      </w:r>
      <w:r>
        <w:rPr>
          <w:rFonts w:hint="eastAsia"/>
        </w:rPr>
        <w:t>(4)</w:t>
      </w:r>
      <w:r>
        <w:rPr>
          <w:rFonts w:hint="eastAsia"/>
        </w:rPr>
        <w:t>被告應自民國</w:t>
      </w:r>
      <w:r>
        <w:rPr>
          <w:rFonts w:hint="eastAsia"/>
        </w:rPr>
        <w:t>10</w:t>
      </w:r>
    </w:p>
    <w:p w14:paraId="1191D1C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4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日起至返還系爭房屋之日止，按月給付原告于作</w:t>
      </w:r>
    </w:p>
    <w:p w14:paraId="2228AF35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亮、</w:t>
      </w:r>
      <w:r>
        <w:rPr>
          <w:rFonts w:hint="eastAsia"/>
        </w:rPr>
        <w:t>OOO</w:t>
      </w:r>
      <w:r>
        <w:rPr>
          <w:rFonts w:hint="eastAsia"/>
        </w:rPr>
        <w:t>、</w:t>
      </w:r>
      <w:r>
        <w:rPr>
          <w:rFonts w:hint="eastAsia"/>
        </w:rPr>
        <w:t>OOO</w:t>
      </w:r>
      <w:r>
        <w:rPr>
          <w:rFonts w:hint="eastAsia"/>
        </w:rPr>
        <w:t>各</w:t>
      </w:r>
      <w:r>
        <w:rPr>
          <w:rFonts w:hint="eastAsia"/>
        </w:rPr>
        <w:t xml:space="preserve">1 </w:t>
      </w:r>
      <w:r>
        <w:rPr>
          <w:rFonts w:hint="eastAsia"/>
        </w:rPr>
        <w:t>萬元；</w:t>
      </w:r>
      <w:r>
        <w:rPr>
          <w:rFonts w:hint="eastAsia"/>
        </w:rPr>
        <w:t>(5)</w:t>
      </w:r>
      <w:r>
        <w:rPr>
          <w:rFonts w:hint="eastAsia"/>
        </w:rPr>
        <w:t>被告應給付原告</w:t>
      </w:r>
      <w:r>
        <w:rPr>
          <w:rFonts w:hint="eastAsia"/>
        </w:rPr>
        <w:t>OOO</w:t>
      </w:r>
      <w:r>
        <w:rPr>
          <w:rFonts w:hint="eastAsia"/>
        </w:rPr>
        <w:t>12</w:t>
      </w:r>
    </w:p>
    <w:p w14:paraId="0DD652C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萬</w:t>
      </w:r>
      <w:r>
        <w:rPr>
          <w:rFonts w:hint="eastAsia"/>
        </w:rPr>
        <w:t xml:space="preserve">250 </w:t>
      </w:r>
      <w:r>
        <w:rPr>
          <w:rFonts w:hint="eastAsia"/>
        </w:rPr>
        <w:t>元，及自起訴狀繕本送達翌日起至清償日止按週年利</w:t>
      </w:r>
    </w:p>
    <w:p w14:paraId="723283E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率</w:t>
      </w:r>
      <w:r>
        <w:rPr>
          <w:rFonts w:hint="eastAsia"/>
        </w:rPr>
        <w:t>5%</w:t>
      </w:r>
      <w:r>
        <w:rPr>
          <w:rFonts w:hint="eastAsia"/>
        </w:rPr>
        <w:t>計算之利息；</w:t>
      </w:r>
      <w:r>
        <w:rPr>
          <w:rFonts w:hint="eastAsia"/>
        </w:rPr>
        <w:t>(6)</w:t>
      </w:r>
      <w:r>
        <w:rPr>
          <w:rFonts w:hint="eastAsia"/>
        </w:rPr>
        <w:t>就前揭</w:t>
      </w:r>
      <w:r>
        <w:rPr>
          <w:rFonts w:hint="eastAsia"/>
        </w:rPr>
        <w:t>(3)</w:t>
      </w:r>
      <w:r>
        <w:rPr>
          <w:rFonts w:hint="eastAsia"/>
        </w:rPr>
        <w:t>至</w:t>
      </w:r>
      <w:r>
        <w:rPr>
          <w:rFonts w:hint="eastAsia"/>
        </w:rPr>
        <w:t>(5)</w:t>
      </w:r>
      <w:r>
        <w:rPr>
          <w:rFonts w:hint="eastAsia"/>
        </w:rPr>
        <w:t>所示聲明，願供擔保請准</w:t>
      </w:r>
    </w:p>
    <w:p w14:paraId="16FBB03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宣告假執行。嗣原告於</w:t>
      </w:r>
      <w:r>
        <w:rPr>
          <w:rFonts w:hint="eastAsia"/>
        </w:rPr>
        <w:t xml:space="preserve">105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日具狀撤回前揭</w:t>
      </w:r>
      <w:r>
        <w:rPr>
          <w:rFonts w:hint="eastAsia"/>
        </w:rPr>
        <w:t>(3)</w:t>
      </w:r>
      <w:r>
        <w:rPr>
          <w:rFonts w:hint="eastAsia"/>
        </w:rPr>
        <w:t>至</w:t>
      </w:r>
      <w:r>
        <w:rPr>
          <w:rFonts w:hint="eastAsia"/>
        </w:rPr>
        <w:t>(5)</w:t>
      </w:r>
    </w:p>
    <w:p w14:paraId="50A4839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所示訴訟，被告於同月</w:t>
      </w:r>
      <w:r>
        <w:rPr>
          <w:rFonts w:hint="eastAsia"/>
        </w:rPr>
        <w:t>22</w:t>
      </w:r>
      <w:r>
        <w:rPr>
          <w:rFonts w:hint="eastAsia"/>
        </w:rPr>
        <w:t>日當庭表示同意（見本院</w:t>
      </w:r>
      <w:r>
        <w:rPr>
          <w:rFonts w:hint="eastAsia"/>
        </w:rPr>
        <w:t xml:space="preserve">105 </w:t>
      </w:r>
      <w:r>
        <w:rPr>
          <w:rFonts w:hint="eastAsia"/>
        </w:rPr>
        <w:t>年</w:t>
      </w:r>
      <w:r>
        <w:rPr>
          <w:rFonts w:hint="eastAsia"/>
        </w:rPr>
        <w:t>8</w:t>
      </w:r>
    </w:p>
    <w:p w14:paraId="52597F5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日準備程序筆錄），揆之前揭規定，原告撤回訴之一部</w:t>
      </w:r>
    </w:p>
    <w:p w14:paraId="4E760E2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，於法並無不合，應予准許，且兩造就前揭</w:t>
      </w:r>
      <w:r>
        <w:rPr>
          <w:rFonts w:hint="eastAsia"/>
        </w:rPr>
        <w:t>(2)</w:t>
      </w:r>
      <w:r>
        <w:rPr>
          <w:rFonts w:hint="eastAsia"/>
        </w:rPr>
        <w:t>所示訴訟成立</w:t>
      </w:r>
    </w:p>
    <w:p w14:paraId="220901AD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訴訟上和解，合先敘明。</w:t>
      </w:r>
    </w:p>
    <w:p w14:paraId="4E91FCB9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貳、實體部分</w:t>
      </w:r>
    </w:p>
    <w:p w14:paraId="51992BDC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一、原告主張：被告為原告之胞弟，被告於兩造之母</w:t>
      </w:r>
      <w:r>
        <w:rPr>
          <w:rFonts w:hint="eastAsia"/>
        </w:rPr>
        <w:t>OOO</w:t>
      </w:r>
      <w:r>
        <w:rPr>
          <w:rFonts w:hint="eastAsia"/>
        </w:rPr>
        <w:t>生</w:t>
      </w:r>
    </w:p>
    <w:p w14:paraId="7C346AE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前以照顧</w:t>
      </w:r>
      <w:r>
        <w:rPr>
          <w:rFonts w:hint="eastAsia"/>
        </w:rPr>
        <w:t>OOO</w:t>
      </w:r>
      <w:r>
        <w:rPr>
          <w:rFonts w:hint="eastAsia"/>
        </w:rPr>
        <w:t>為藉口，入住</w:t>
      </w:r>
      <w:r>
        <w:rPr>
          <w:rFonts w:hint="eastAsia"/>
        </w:rPr>
        <w:t>OOO</w:t>
      </w:r>
      <w:r>
        <w:rPr>
          <w:rFonts w:hint="eastAsia"/>
        </w:rPr>
        <w:t>所有之系爭房屋，</w:t>
      </w:r>
    </w:p>
    <w:p w14:paraId="01F6849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OOO</w:t>
      </w:r>
      <w:r>
        <w:rPr>
          <w:rFonts w:hint="eastAsia"/>
        </w:rPr>
        <w:t>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日死亡後，被告仍繼續占用系爭房</w:t>
      </w:r>
    </w:p>
    <w:p w14:paraId="6949C981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屋，經原告</w:t>
      </w:r>
      <w:r>
        <w:rPr>
          <w:rFonts w:hint="eastAsia"/>
        </w:rPr>
        <w:t>OOO</w:t>
      </w:r>
      <w:r>
        <w:rPr>
          <w:rFonts w:hint="eastAsia"/>
        </w:rPr>
        <w:t>以存證信函通知被告搬遷，未獲置理。因</w:t>
      </w:r>
    </w:p>
    <w:p w14:paraId="4EC4579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系爭房屋為</w:t>
      </w:r>
      <w:r>
        <w:rPr>
          <w:rFonts w:hint="eastAsia"/>
        </w:rPr>
        <w:t>OOO</w:t>
      </w:r>
      <w:r>
        <w:rPr>
          <w:rFonts w:hint="eastAsia"/>
        </w:rPr>
        <w:t>之遺產，為全體繼承人即兩造公同共有</w:t>
      </w:r>
    </w:p>
    <w:p w14:paraId="5D614B1E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，被告並無占有系爭房屋之合法權源，爰依民法</w:t>
      </w:r>
      <w:r>
        <w:rPr>
          <w:rFonts w:hint="eastAsia"/>
        </w:rPr>
        <w:t xml:space="preserve">767 </w:t>
      </w:r>
      <w:r>
        <w:rPr>
          <w:rFonts w:hint="eastAsia"/>
        </w:rPr>
        <w:t>條第</w:t>
      </w:r>
      <w:r>
        <w:rPr>
          <w:rFonts w:hint="eastAsia"/>
        </w:rPr>
        <w:t>1</w:t>
      </w:r>
    </w:p>
    <w:p w14:paraId="788BA32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項前段、中段、第</w:t>
      </w:r>
      <w:r>
        <w:rPr>
          <w:rFonts w:hint="eastAsia"/>
        </w:rPr>
        <w:t xml:space="preserve">828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項、第</w:t>
      </w:r>
      <w:r>
        <w:rPr>
          <w:rFonts w:hint="eastAsia"/>
        </w:rPr>
        <w:t xml:space="preserve">821 </w:t>
      </w:r>
      <w:r>
        <w:rPr>
          <w:rFonts w:hint="eastAsia"/>
        </w:rPr>
        <w:t>條規定，提起本件</w:t>
      </w:r>
    </w:p>
    <w:p w14:paraId="1FFDEBAD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訴訟等語。並聲明如主文所示。</w:t>
      </w:r>
    </w:p>
    <w:p w14:paraId="6B4718CC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二、被告則以：被告為系爭房屋之公同共有人，並非無權占有系</w:t>
      </w:r>
    </w:p>
    <w:p w14:paraId="218F38D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爭房屋等語，資為抗辯，並聲明：原告之訴駁回。</w:t>
      </w:r>
    </w:p>
    <w:p w14:paraId="0E84EF05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三、原告主張兩造之母於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日死亡，遺有系爭房屋，</w:t>
      </w:r>
    </w:p>
    <w:p w14:paraId="1CD254E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由全體繼承人即兩造繼承而公同共有，被告現占有使用系爭</w:t>
      </w:r>
    </w:p>
    <w:p w14:paraId="4C1003B3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房屋等情，業據其提出</w:t>
      </w:r>
      <w:r>
        <w:rPr>
          <w:rFonts w:hint="eastAsia"/>
        </w:rPr>
        <w:t>OOO</w:t>
      </w:r>
      <w:r>
        <w:rPr>
          <w:rFonts w:hint="eastAsia"/>
        </w:rPr>
        <w:t>暨兩造之戶籍謄本、財政部</w:t>
      </w:r>
    </w:p>
    <w:p w14:paraId="1D6AC571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臺北國稅局遺產稅繳清證明書、郵局存證信函、繼承系統表</w:t>
      </w:r>
    </w:p>
    <w:p w14:paraId="24254A9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、土地及建物謄本為證（見本院卷第</w:t>
      </w:r>
      <w:r>
        <w:rPr>
          <w:rFonts w:hint="eastAsia"/>
        </w:rPr>
        <w:t>32</w:t>
      </w:r>
      <w:r>
        <w:rPr>
          <w:rFonts w:hint="eastAsia"/>
        </w:rPr>
        <w:t>至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至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38</w:t>
      </w:r>
      <w:r>
        <w:rPr>
          <w:rFonts w:hint="eastAsia"/>
        </w:rPr>
        <w:t>、</w:t>
      </w:r>
    </w:p>
    <w:p w14:paraId="45ABEBE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81</w:t>
      </w:r>
      <w:r>
        <w:rPr>
          <w:rFonts w:hint="eastAsia"/>
        </w:rPr>
        <w:t>至</w:t>
      </w:r>
      <w:r>
        <w:rPr>
          <w:rFonts w:hint="eastAsia"/>
        </w:rPr>
        <w:t>89</w:t>
      </w:r>
      <w:r>
        <w:rPr>
          <w:rFonts w:hint="eastAsia"/>
        </w:rPr>
        <w:t>頁），且為被告所是認，可以認定。原告主張被告無</w:t>
      </w:r>
    </w:p>
    <w:p w14:paraId="6F851331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權占用系爭房屋，則為被告所否認，並以前詞置辯。經查：</w:t>
      </w:r>
    </w:p>
    <w:p w14:paraId="5F3E33B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按以無權占有為原因，請求返還</w:t>
      </w:r>
      <w:bookmarkStart w:id="0" w:name="_GoBack"/>
      <w:bookmarkEnd w:id="0"/>
      <w:r>
        <w:rPr>
          <w:rFonts w:hint="eastAsia"/>
        </w:rPr>
        <w:t>土地者，占有人對土地所有</w:t>
      </w:r>
    </w:p>
    <w:p w14:paraId="7051CE9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權存在之事實無爭執，而僅以非無權占有為抗辯者，土地所</w:t>
      </w:r>
    </w:p>
    <w:p w14:paraId="0D6E4C2C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有權人對其土地被無權占有之事實無舉證責任，占有人自應</w:t>
      </w:r>
    </w:p>
    <w:p w14:paraId="5B6CF027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就其取得占有係有正當權源之事實證明之，最高法院</w:t>
      </w:r>
      <w:r>
        <w:rPr>
          <w:rFonts w:hint="eastAsia"/>
        </w:rPr>
        <w:t>85</w:t>
      </w:r>
      <w:r>
        <w:rPr>
          <w:rFonts w:hint="eastAsia"/>
        </w:rPr>
        <w:t>年度</w:t>
      </w:r>
    </w:p>
    <w:p w14:paraId="7D45DC89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台上字第</w:t>
      </w:r>
      <w:r>
        <w:rPr>
          <w:rFonts w:hint="eastAsia"/>
        </w:rPr>
        <w:t>1120</w:t>
      </w:r>
      <w:r>
        <w:rPr>
          <w:rFonts w:hint="eastAsia"/>
        </w:rPr>
        <w:t>號判決同此見解。本件系爭房屋為兩造公同共</w:t>
      </w:r>
    </w:p>
    <w:p w14:paraId="7C2A61D6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有，被告現占有系爭房屋，已如前述，揆之前揭說明，自應</w:t>
      </w:r>
    </w:p>
    <w:p w14:paraId="00F84881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由被告就前揭抗辯事實負舉證之責。</w:t>
      </w:r>
    </w:p>
    <w:p w14:paraId="500236C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未經共有人協議分管之共有物，共有人對共有物之特定部分</w:t>
      </w:r>
    </w:p>
    <w:p w14:paraId="7FFC8027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占用收益，須徵得他共有人全體之同意。如未經他共有人同</w:t>
      </w:r>
    </w:p>
    <w:p w14:paraId="14CD5A3F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意而就共有物之全部或一部任意占用收益，他共有人得本於</w:t>
      </w:r>
    </w:p>
    <w:p w14:paraId="250BE2F4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所有權請求除去其妨害或請求向全體共有人返還占用部分（</w:t>
      </w:r>
    </w:p>
    <w:p w14:paraId="540E69B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最高法院</w:t>
      </w:r>
      <w:r>
        <w:rPr>
          <w:rFonts w:hint="eastAsia"/>
        </w:rPr>
        <w:t>74</w:t>
      </w:r>
      <w:r>
        <w:rPr>
          <w:rFonts w:hint="eastAsia"/>
        </w:rPr>
        <w:t>年度第</w:t>
      </w:r>
      <w:r>
        <w:rPr>
          <w:rFonts w:hint="eastAsia"/>
        </w:rPr>
        <w:t xml:space="preserve">2 </w:t>
      </w:r>
      <w:r>
        <w:rPr>
          <w:rFonts w:hint="eastAsia"/>
        </w:rPr>
        <w:t>次民事庭會議決議（三）參照）。另所</w:t>
      </w:r>
    </w:p>
    <w:p w14:paraId="47FB0286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有人對於無權占有或侵奪其所有物者，得請求返還之。對於</w:t>
      </w:r>
    </w:p>
    <w:p w14:paraId="039CB57C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妨害其所有權者，得請求除去之。有妨害其所有權之虞者，</w:t>
      </w:r>
    </w:p>
    <w:p w14:paraId="2DEB119E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得請求防止之；各共有人對於第三人，得就共有物之全部為</w:t>
      </w:r>
    </w:p>
    <w:p w14:paraId="2E0F9D63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本於所有權之請求。但回復共有物之請求，僅得為共有人全</w:t>
      </w:r>
    </w:p>
    <w:p w14:paraId="2815A147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體之利益為之；第</w:t>
      </w:r>
      <w:r>
        <w:rPr>
          <w:rFonts w:hint="eastAsia"/>
        </w:rPr>
        <w:t xml:space="preserve">820 </w:t>
      </w:r>
      <w:r>
        <w:rPr>
          <w:rFonts w:hint="eastAsia"/>
        </w:rPr>
        <w:t>條、第</w:t>
      </w:r>
      <w:r>
        <w:rPr>
          <w:rFonts w:hint="eastAsia"/>
        </w:rPr>
        <w:t xml:space="preserve">821 </w:t>
      </w:r>
      <w:r>
        <w:rPr>
          <w:rFonts w:hint="eastAsia"/>
        </w:rPr>
        <w:t>條及第</w:t>
      </w:r>
      <w:r>
        <w:rPr>
          <w:rFonts w:hint="eastAsia"/>
        </w:rPr>
        <w:t xml:space="preserve">826 </w:t>
      </w:r>
      <w:r>
        <w:rPr>
          <w:rFonts w:hint="eastAsia"/>
        </w:rPr>
        <w:t>條之</w:t>
      </w:r>
      <w:r>
        <w:rPr>
          <w:rFonts w:hint="eastAsia"/>
        </w:rPr>
        <w:t xml:space="preserve">1 </w:t>
      </w:r>
      <w:r>
        <w:rPr>
          <w:rFonts w:hint="eastAsia"/>
        </w:rPr>
        <w:t>規定，</w:t>
      </w:r>
    </w:p>
    <w:p w14:paraId="60D8F11D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於公同共有準用之，民法第</w:t>
      </w:r>
      <w:r>
        <w:rPr>
          <w:rFonts w:hint="eastAsia"/>
        </w:rPr>
        <w:t xml:space="preserve">767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項、第</w:t>
      </w:r>
      <w:r>
        <w:rPr>
          <w:rFonts w:hint="eastAsia"/>
        </w:rPr>
        <w:t xml:space="preserve">821 </w:t>
      </w:r>
      <w:r>
        <w:rPr>
          <w:rFonts w:hint="eastAsia"/>
        </w:rPr>
        <w:t>條及</w:t>
      </w:r>
      <w:r>
        <w:rPr>
          <w:rFonts w:hint="eastAsia"/>
        </w:rPr>
        <w:t>828</w:t>
      </w:r>
    </w:p>
    <w:p w14:paraId="7DA6DAF2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項分別定有明文。查系爭房屋為全體繼承人即兩造所</w:t>
      </w:r>
    </w:p>
    <w:p w14:paraId="052A67F5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共有，被告對於系爭房屋占用收益，自應徵得全體共有人之</w:t>
      </w:r>
    </w:p>
    <w:p w14:paraId="46E2E72A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同意，被告徒以其為公同共有人，主張有權占有，顯屬無據</w:t>
      </w:r>
    </w:p>
    <w:p w14:paraId="09CB02D7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。原告依民法</w:t>
      </w:r>
      <w:r>
        <w:rPr>
          <w:rFonts w:hint="eastAsia"/>
        </w:rPr>
        <w:t xml:space="preserve">767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項、第</w:t>
      </w:r>
      <w:r>
        <w:rPr>
          <w:rFonts w:hint="eastAsia"/>
        </w:rPr>
        <w:t xml:space="preserve">828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項、第</w:t>
      </w:r>
      <w:r>
        <w:rPr>
          <w:rFonts w:hint="eastAsia"/>
        </w:rPr>
        <w:t xml:space="preserve">821 </w:t>
      </w:r>
      <w:r>
        <w:rPr>
          <w:rFonts w:hint="eastAsia"/>
        </w:rPr>
        <w:t>條規</w:t>
      </w:r>
    </w:p>
    <w:p w14:paraId="4C3897A5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定，請求被告將系爭房屋騰空遷讓並返還予原告及其他共有</w:t>
      </w:r>
    </w:p>
    <w:p w14:paraId="321E6ED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人，應予准許。</w:t>
      </w:r>
    </w:p>
    <w:p w14:paraId="548FA033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四、綜上所述，原告依民法第</w:t>
      </w:r>
      <w:r>
        <w:rPr>
          <w:rFonts w:hint="eastAsia"/>
        </w:rPr>
        <w:t xml:space="preserve">767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項、第</w:t>
      </w:r>
      <w:r>
        <w:rPr>
          <w:rFonts w:hint="eastAsia"/>
        </w:rPr>
        <w:t xml:space="preserve">828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項、</w:t>
      </w:r>
    </w:p>
    <w:p w14:paraId="250199CC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821 </w:t>
      </w:r>
      <w:r>
        <w:rPr>
          <w:rFonts w:hint="eastAsia"/>
        </w:rPr>
        <w:t>條規定，請求被告應將系爭房屋騰空遷讓並返還予原</w:t>
      </w:r>
    </w:p>
    <w:p w14:paraId="4975F5B5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告及其他共有人，為有理由，應予准許。</w:t>
      </w:r>
    </w:p>
    <w:p w14:paraId="4D600F59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五、本件事證已臻明確，兩造其餘攻擊防禦方法及未經本院援用</w:t>
      </w:r>
    </w:p>
    <w:p w14:paraId="7939A710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之證據，經核均與本院之判斷，不生影響，爰不予一一論述</w:t>
      </w:r>
    </w:p>
    <w:p w14:paraId="33CB19EF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，附此敘明。</w:t>
      </w:r>
    </w:p>
    <w:p w14:paraId="11AEA8E3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六、訴訟費用負擔之依據：依家事事件法第</w:t>
      </w:r>
      <w:r>
        <w:rPr>
          <w:rFonts w:hint="eastAsia"/>
        </w:rPr>
        <w:t>51</w:t>
      </w:r>
      <w:r>
        <w:rPr>
          <w:rFonts w:hint="eastAsia"/>
        </w:rPr>
        <w:t>條準用民事訴訟法</w:t>
      </w:r>
    </w:p>
    <w:p w14:paraId="7491D5BE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78</w:t>
      </w:r>
      <w:r>
        <w:rPr>
          <w:rFonts w:hint="eastAsia"/>
        </w:rPr>
        <w:t>條。</w:t>
      </w:r>
    </w:p>
    <w:p w14:paraId="19C1CC97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106    </w:t>
      </w:r>
      <w:r>
        <w:rPr>
          <w:rFonts w:hint="eastAsia"/>
        </w:rPr>
        <w:t>年</w:t>
      </w:r>
      <w:r>
        <w:rPr>
          <w:rFonts w:hint="eastAsia"/>
        </w:rPr>
        <w:t xml:space="preserve">    1    </w:t>
      </w:r>
      <w:r>
        <w:rPr>
          <w:rFonts w:hint="eastAsia"/>
        </w:rPr>
        <w:t>月</w:t>
      </w:r>
      <w:r>
        <w:rPr>
          <w:rFonts w:hint="eastAsia"/>
        </w:rPr>
        <w:t xml:space="preserve">    25    </w:t>
      </w:r>
      <w:r>
        <w:rPr>
          <w:rFonts w:hint="eastAsia"/>
        </w:rPr>
        <w:t>日</w:t>
      </w:r>
    </w:p>
    <w:p w14:paraId="3AD28C5B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家事法庭</w:t>
      </w:r>
      <w:r>
        <w:rPr>
          <w:rFonts w:hint="eastAsia"/>
        </w:rPr>
        <w:t xml:space="preserve">  </w:t>
      </w:r>
      <w:r>
        <w:rPr>
          <w:rFonts w:hint="eastAsia"/>
        </w:rPr>
        <w:t>審判長法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徐麗瑩</w:t>
      </w:r>
    </w:p>
    <w:p w14:paraId="3A5F4E2F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文衍正</w:t>
      </w:r>
    </w:p>
    <w:p w14:paraId="754733B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廖建傑</w:t>
      </w:r>
    </w:p>
    <w:p w14:paraId="47980118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以上正本係照原本作成。</w:t>
      </w:r>
    </w:p>
    <w:p w14:paraId="2D6EDB3F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如對本判決上訴，須於判決送達後</w:t>
      </w:r>
      <w:r>
        <w:rPr>
          <w:rFonts w:hint="eastAsia"/>
        </w:rPr>
        <w:t>20</w:t>
      </w:r>
      <w:r>
        <w:rPr>
          <w:rFonts w:hint="eastAsia"/>
        </w:rPr>
        <w:t>日內向本院提出上訴狀。如</w:t>
      </w:r>
    </w:p>
    <w:p w14:paraId="10DDDE73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委任律師提起上訴者，應一併繳納上訴審裁判費。</w:t>
      </w:r>
    </w:p>
    <w:p w14:paraId="2AAB9E19" w14:textId="77777777" w:rsidR="0010272A" w:rsidRDefault="0010272A" w:rsidP="0010272A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106    </w:t>
      </w:r>
      <w:r>
        <w:rPr>
          <w:rFonts w:hint="eastAsia"/>
        </w:rPr>
        <w:t>年</w:t>
      </w:r>
      <w:r>
        <w:rPr>
          <w:rFonts w:hint="eastAsia"/>
        </w:rPr>
        <w:t xml:space="preserve">    1     </w:t>
      </w:r>
      <w:r>
        <w:rPr>
          <w:rFonts w:hint="eastAsia"/>
        </w:rPr>
        <w:t>月</w:t>
      </w:r>
      <w:r>
        <w:rPr>
          <w:rFonts w:hint="eastAsia"/>
        </w:rPr>
        <w:t xml:space="preserve">    25    </w:t>
      </w:r>
      <w:r>
        <w:rPr>
          <w:rFonts w:hint="eastAsia"/>
        </w:rPr>
        <w:t>日</w:t>
      </w:r>
    </w:p>
    <w:p w14:paraId="14DCE107" w14:textId="77777777" w:rsidR="00DF6397" w:rsidRDefault="0010272A" w:rsidP="0010272A">
      <w:r>
        <w:rPr>
          <w:rFonts w:hint="eastAsia"/>
        </w:rPr>
        <w:t xml:space="preserve">  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</w:t>
      </w:r>
      <w:r>
        <w:rPr>
          <w:rFonts w:hint="eastAsia"/>
        </w:rPr>
        <w:t>張妤瑄</w:t>
      </w:r>
    </w:p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1812" w14:textId="77777777" w:rsidR="0010272A" w:rsidRDefault="0010272A" w:rsidP="0010272A">
      <w:r>
        <w:separator/>
      </w:r>
    </w:p>
  </w:endnote>
  <w:endnote w:type="continuationSeparator" w:id="0">
    <w:p w14:paraId="40E63C8C" w14:textId="77777777" w:rsidR="0010272A" w:rsidRDefault="0010272A" w:rsidP="0010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53889" w14:textId="77777777" w:rsidR="0010272A" w:rsidRDefault="0010272A" w:rsidP="0010272A">
      <w:r>
        <w:separator/>
      </w:r>
    </w:p>
  </w:footnote>
  <w:footnote w:type="continuationSeparator" w:id="0">
    <w:p w14:paraId="4F5400CE" w14:textId="77777777" w:rsidR="0010272A" w:rsidRDefault="0010272A" w:rsidP="0010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14"/>
    <w:rsid w:val="000B51C5"/>
    <w:rsid w:val="0010272A"/>
    <w:rsid w:val="002D524E"/>
    <w:rsid w:val="00804914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9B85"/>
  <w15:chartTrackingRefBased/>
  <w15:docId w15:val="{D872C809-7496-4F00-B260-14C617A4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7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7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2017-02-07T12:10:00Z</dcterms:created>
  <dcterms:modified xsi:type="dcterms:W3CDTF">2017-02-07T12:12:00Z</dcterms:modified>
</cp:coreProperties>
</file>